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中百集团灯具集采项目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更正公告</w:t>
      </w:r>
    </w:p>
    <w:p>
      <w:pPr>
        <w:pStyle w:val="2"/>
        <w:spacing w:line="360" w:lineRule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0" w:name="_Toc28359104"/>
      <w:bookmarkStart w:id="1" w:name="_Toc28359027"/>
      <w:bookmarkStart w:id="2" w:name="_Toc35393645"/>
      <w:bookmarkStart w:id="3" w:name="_Toc35393814"/>
      <w:r>
        <w:rPr>
          <w:rFonts w:hint="eastAsia" w:ascii="仿宋" w:hAnsi="仿宋" w:eastAsia="仿宋" w:cs="仿宋"/>
          <w:b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原公告的采购项目编号：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HBZLT-WH-124012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原公告的采购项目名称：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中百集团灯具集采项目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首次公告日期：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2024年3月1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>
      <w:pPr>
        <w:pStyle w:val="2"/>
        <w:spacing w:line="360" w:lineRule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4" w:name="_Toc35393815"/>
      <w:bookmarkStart w:id="5" w:name="_Toc35393646"/>
      <w:bookmarkStart w:id="6" w:name="_Toc28359105"/>
      <w:bookmarkStart w:id="7" w:name="_Toc28359028"/>
      <w:r>
        <w:rPr>
          <w:rFonts w:hint="eastAsia" w:ascii="仿宋" w:hAnsi="仿宋" w:eastAsia="仿宋" w:cs="仿宋"/>
          <w:b w:val="0"/>
          <w:sz w:val="24"/>
          <w:szCs w:val="24"/>
        </w:rPr>
        <w:t>二、更正信息</w:t>
      </w:r>
      <w:bookmarkEnd w:id="4"/>
      <w:bookmarkEnd w:id="5"/>
      <w:bookmarkEnd w:id="6"/>
      <w:bookmarkEnd w:id="7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更正事项：□采购公告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☑</w:t>
      </w:r>
      <w:r>
        <w:rPr>
          <w:rFonts w:hint="eastAsia" w:ascii="仿宋" w:hAnsi="仿宋" w:eastAsia="仿宋" w:cs="仿宋"/>
          <w:sz w:val="24"/>
          <w:szCs w:val="24"/>
        </w:rPr>
        <w:t xml:space="preserve">采购文件 □采购结果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更正内容：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将本项目原第三章第一条采购货物采购清单及要求中第1包中百罗森店铺灯具采购项目更正为：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品目一：新店配置清单（“*”项产品需提供样品，并做好接线）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995"/>
        <w:gridCol w:w="706"/>
        <w:gridCol w:w="1752"/>
        <w:gridCol w:w="2124"/>
        <w:gridCol w:w="4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产品名称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参考图片样式</w:t>
            </w: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*1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LED平板灯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360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199390</wp:posOffset>
                  </wp:positionV>
                  <wp:extent cx="609600" cy="408305"/>
                  <wp:effectExtent l="0" t="0" r="0" b="10795"/>
                  <wp:wrapNone/>
                  <wp:docPr id="7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功率:50-55w,显指:≥80,光通量:6000lm,电压:AC220V,光束角:120°,光衰:30000h内≤15%,50000h内≤20%,品质:24小时不间断照明,护眼无频闪。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*2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4寸LED高亮筒灯3000K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7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555625</wp:posOffset>
                  </wp:positionV>
                  <wp:extent cx="792480" cy="631825"/>
                  <wp:effectExtent l="0" t="0" r="7620" b="15875"/>
                  <wp:wrapNone/>
                  <wp:docPr id="77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功率:15-20w,显指:≥80,光通量:1800lm,电压:AC220V,光束角:120°,光衰:30000h内≤15%,50000h内≤20%,品质:24小时不间断照明,护眼无频闪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*3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4寸LED高亮筒灯4000K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7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4寸LED高亮筒灯5000K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80</w:t>
            </w:r>
          </w:p>
        </w:tc>
        <w:tc>
          <w:tcPr>
            <w:tcW w:w="7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*5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4寸LED象鼻灯 3000K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80</w:t>
            </w:r>
          </w:p>
        </w:tc>
        <w:tc>
          <w:tcPr>
            <w:tcW w:w="7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273050</wp:posOffset>
                  </wp:positionV>
                  <wp:extent cx="645795" cy="549910"/>
                  <wp:effectExtent l="0" t="0" r="1905" b="2540"/>
                  <wp:wrapNone/>
                  <wp:docPr id="7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功率:15-20w,显指:≥80,光通量:1800lm,电压:AC220V,光束角:25°,光衰:30000h内≤15%,50000h内≤20%,品质:24小时不间断照明,护眼无频闪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*6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4寸LED象鼻灯 4000K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80</w:t>
            </w:r>
          </w:p>
        </w:tc>
        <w:tc>
          <w:tcPr>
            <w:tcW w:w="7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*7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LED轨道射灯 3000K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50</w:t>
            </w:r>
          </w:p>
        </w:tc>
        <w:tc>
          <w:tcPr>
            <w:tcW w:w="7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211455</wp:posOffset>
                  </wp:positionV>
                  <wp:extent cx="797560" cy="659765"/>
                  <wp:effectExtent l="0" t="0" r="2540" b="6985"/>
                  <wp:wrapNone/>
                  <wp:docPr id="82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功率:15w,显指:≥80,光通量:1800lm,电压:AC220V,光束角:24°,光衰:30000h内≤15%,50000h内≤20%,品质:24小时不间断照明,护眼无频闪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*8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LED轨道射灯 4000K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7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*9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二线导轨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50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83820</wp:posOffset>
                  </wp:positionV>
                  <wp:extent cx="471805" cy="420370"/>
                  <wp:effectExtent l="0" t="0" r="4445" b="17780"/>
                  <wp:wrapNone/>
                  <wp:docPr id="78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按每米报价，铝型材烤漆外壳，两线铜芯导轨（含接头）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LED明装筒灯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212090</wp:posOffset>
                  </wp:positionV>
                  <wp:extent cx="476885" cy="463550"/>
                  <wp:effectExtent l="0" t="0" r="18415" b="12700"/>
                  <wp:wrapNone/>
                  <wp:docPr id="74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功率:15w,显指:≥80,光通量:1800lm,电压:AC220V,光束角:24°,光衰:30000h内≤15%,50000h内≤20%,品质:24小时不间断照明,护眼无频闪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（含安装支架）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LED明装射灯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功率:15w,显指:≥80,光通量:1800lm,电压:AC220V,光束角:24°,光衰:30000h内≤15%,50000h内≤20%,品质:24小时不间断照明,护眼无频闪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（含安装支架）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LED/铝合金线型日光灯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功率:36w,显指:≥80,光通量:3780lm,电压:AC220V,光束角:120°,光衰:30000h内≤15%,50000h内≤20%,品质:24小时不间断照明,护眼无频闪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LED/T30一体化支架灯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功率:36w,显指:≥80,光通量:4300lm,电压:AC220V,光束角:120°,光衰:30000h内≤15%,50000h内≤20%,品质:24小时不间断照明,护眼无频闪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LED/24H商超灯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功率:36w,显指:≥80,光通量:4300lm,电压:AC220V,光束角:120°,光衰:30000h内≤15%,50000h内≤20%,品质:24小时不间断照明,护眼无频闪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LED/T5一体化支架灯14W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功率:14w,显指:≥80,光通量:1680lm,电压:AC220V,光束角:120°,光衰:30000h内≤15%,50000h内≤20%,品质:24小时不间断照明,护眼无频闪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LED/T5一体化支架灯7W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功率:7w,显指:≥80,光通量:840lm,电压:AC220V,光束角:120°,光衰:30000h内≤15%,50000h内≤20%,品质:24小时不间断照明,护眼无频闪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LED/T5一体化支架灯4W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功率:4w,显指:≥80,光通量:480lm,电压:AC220V,光束角:120°,光衰:30000h内≤15%,50000h内≤20%,品质:24小时不间断照明,护眼无频闪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LED艺术吊灯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功率:5w,显指:≥80,光通量:600lm,电压:AC220V,光束角:60°,光衰:30000h内≤15%,50000h内≤20%,品质:24小时不间断照明,护眼无频闪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LED线型洗墙灯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功率:18w,显指:≥80,光通量:2000lm,电压:DC24V,光束角:10*60°,光衰:30000h内≤15%,50000h内≤20%,品质:24小时不间断照明。铝压铸灯体； 5mm钢化玻璃；抗高温老化硅胶防水密封圈，光源灌封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备注：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1.服务区域：湖北省、湖南省、河南省、江西省内中百罗森门店。</w:t>
      </w: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ab/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2.灯具照片只作为参考，品牌要求松下或同等参数质量品牌。</w:t>
      </w: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ab/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3.售后服务：接呼叫中心报修后2小时内响应，24小时内完成维修，如未完成的需提供备用设备替代。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4.质保期:货物验收合格之日起不少于五年。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5.KPI要求:月度订单完成率100%，月度维修及时完成率≥90%，如未完成有经济处罚。合同期内存在3个月未完成KPI，采购人有权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取消合同。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6.其他:新建、改造店店铺需按采购方要求提供店铺照度分析。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品目二：维修配置清单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510"/>
        <w:gridCol w:w="1781"/>
        <w:gridCol w:w="1781"/>
        <w:gridCol w:w="5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产品名称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4寸象鼻灯 灯体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功率（W）15-30，色温（K）：3000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4寸象鼻灯 配套电源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4寸象鼻灯 灯体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功率（W）15-30，色温（K）：4000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4寸象鼻灯 配套电源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4寸筒灯 灯体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功率（W）15-30，色温（K）：4000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4寸筒灯 配套电源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4寸筒灯 灯体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功率（W）15-30，色温（K）：5000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4寸筒灯 配套电源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LED平板灯 灯体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功率（W）55-65，色温（K）：5000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LED平板灯 配套电源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轨道射灯 配套电源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轨道射灯 灯体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功率（W）15-30，色温（K）：4000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轨道射灯 灯体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功率（W）15-30，色温（K）：4000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自镇流双端LED灯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支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规格（mm）1200，功率（W）20-30，光通量（lm）≥2000，色温（K）6500 显色性≥80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自镇流双端LED灯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支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规格（mm）1200，功率（W）20-30，光通量（lm）≥2000，色温（K）5000 显色性≥80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消光格栅灯具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服务台吊灯光源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3000K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球型餐台灯光源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3000K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吧台白玻吊灯光源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3000K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服务台吊灯主体外壳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63500</wp:posOffset>
                  </wp:positionV>
                  <wp:extent cx="718185" cy="755015"/>
                  <wp:effectExtent l="0" t="0" r="5715" b="6985"/>
                  <wp:wrapNone/>
                  <wp:docPr id="1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球型餐台灯主体外壳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1744980</wp:posOffset>
                  </wp:positionH>
                  <wp:positionV relativeFrom="paragraph">
                    <wp:posOffset>21590</wp:posOffset>
                  </wp:positionV>
                  <wp:extent cx="272415" cy="497205"/>
                  <wp:effectExtent l="0" t="0" r="13335" b="17145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吧台白玻吊灯主体外壳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1644015</wp:posOffset>
                  </wp:positionH>
                  <wp:positionV relativeFrom="paragraph">
                    <wp:posOffset>34925</wp:posOffset>
                  </wp:positionV>
                  <wp:extent cx="495300" cy="480695"/>
                  <wp:effectExtent l="0" t="0" r="0" b="14605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平板灯卡子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套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LED吊灯灯体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LED/5w吊灯光源(球泡)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LED线形洗墙灯灯体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LED线形洗墙灯开关电源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个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上门费（单次）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店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>300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备注：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2"/>
        </w:rPr>
        <w:t>售后区域：湖北省、湖南省、河南省、江西省内中百罗森门店</w:t>
      </w:r>
      <w:r>
        <w:rPr>
          <w:rFonts w:hint="eastAsia" w:ascii="仿宋" w:hAnsi="仿宋" w:eastAsia="仿宋" w:cs="仿宋"/>
          <w:b/>
          <w:bCs/>
          <w:sz w:val="24"/>
          <w:szCs w:val="2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2"/>
        </w:rPr>
        <w:tab/>
      </w:r>
      <w:r>
        <w:rPr>
          <w:rFonts w:hint="eastAsia" w:ascii="仿宋" w:hAnsi="仿宋" w:eastAsia="仿宋" w:cs="仿宋"/>
          <w:b/>
          <w:bCs/>
          <w:sz w:val="24"/>
          <w:szCs w:val="22"/>
        </w:rPr>
        <w:tab/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2"/>
        </w:rPr>
        <w:t>售后服务：接呼叫中心报修后2小时内响应，24小时内完成维修，如未完成的需提供备用设备替代</w:t>
      </w:r>
      <w:r>
        <w:rPr>
          <w:rFonts w:hint="eastAsia" w:ascii="仿宋" w:hAnsi="仿宋" w:eastAsia="仿宋" w:cs="仿宋"/>
          <w:b/>
          <w:bCs/>
          <w:sz w:val="24"/>
          <w:szCs w:val="22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2"/>
        </w:rPr>
        <w:t>单次结算</w:t>
      </w: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公式</w:t>
      </w:r>
      <w:r>
        <w:rPr>
          <w:rFonts w:hint="eastAsia" w:ascii="仿宋" w:hAnsi="仿宋" w:eastAsia="仿宋" w:cs="仿宋"/>
          <w:b/>
          <w:bCs/>
          <w:sz w:val="24"/>
          <w:szCs w:val="22"/>
        </w:rPr>
        <w:t>为：上门服务费+产品价格=总价</w:t>
      </w:r>
      <w:r>
        <w:rPr>
          <w:rFonts w:hint="eastAsia" w:ascii="仿宋" w:hAnsi="仿宋" w:eastAsia="仿宋" w:cs="仿宋"/>
          <w:b/>
          <w:bCs/>
          <w:sz w:val="24"/>
          <w:szCs w:val="22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”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本项目不含安装，故将本项目原交货期更正为：“第一包：分期分批根据采购人要求进行送货。第二包：分期分批根据采购人要求进行送货。”原质保期更正为：“第一包：货物验收合格之日起不少于五年。第二包：货物经验收合格之日起两年。”。原报价要求更正为：“供应商的报价应包含全部产品、供货、运输、保险、储存、力资、开具13%增值税税费等相关全部费用，如有缺失，视为成交供应商免费提供，采购人不再为此项目支付任何费用。”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3.将本项目原评分细则更正为：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</w:t>
      </w:r>
    </w:p>
    <w:p>
      <w:pP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第一包：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473"/>
        <w:gridCol w:w="914"/>
        <w:gridCol w:w="5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782" w:type="dxa"/>
            <w:gridSpan w:val="2"/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  <w:t>评审项目</w:t>
            </w:r>
          </w:p>
        </w:tc>
        <w:tc>
          <w:tcPr>
            <w:tcW w:w="914" w:type="dxa"/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  <w:t>分数</w:t>
            </w:r>
          </w:p>
        </w:tc>
        <w:tc>
          <w:tcPr>
            <w:tcW w:w="5585" w:type="dxa"/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  <w:t>评分标准说明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商务部分（1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类似业绩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根据供应商2020年1月1日至响应文件提交截止时间的类似项目业绩进行打分（须提供中标通知书或供货合同），每提供1份得1分，最多得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用户评价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提供2020年1月1日至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响应文件递交截止时间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用户使用情况正面评价的，每提供一项得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分，满分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分。不提供不得分。（用户评价需提供评价原件复印件并加盖用户公章，注明联系人、联系电话）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认证体系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3分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根据供应商提供体系认证证书进行评审：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（1）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具备质量管理体系认证且在有效期内的得1分。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（2）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具备环境管理体系认证且在有效期内的得1分。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（3）供应商具备职业健康安全管理体系认证且在有效期内的得1分。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需提供：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①上述证书加盖公章的复印件。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②在中国国家认证认可监督管理委员会“全国认证认可信息公共服务平台”（www.cnca.gov.cn）的认证系统查询结果截图。提供材料齐全且证书有效的每个得1分，最高得3分，材料不全、证书无效或未提供的不得分。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质保期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质保期在满足磋商文件最低要求（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年）基础上，供应商承诺再每增加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一年得1分，满分2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技术部分（2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投标样品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根据供应商提供的样品所用材质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及制造工艺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是否与磋商文件的要求一致，对样品的材质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及制造工艺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情况进行打分，需从以下维度进行综合评价：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主要根据投标样品的材质选择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及制造工艺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进行评审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（材质要求达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采购标准，无划伤、磨损、掉漆、污物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等，无松动异响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）进行打分，材质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及制造工艺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完全满足以上要求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分，材质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及制造工艺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有瑕疵但基本满足得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分，材质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及制造工艺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存在问题、有缺陷得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分,未提供或完全不满足需求得0分。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根据供应商所投样品的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照明测试结果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比较情况进行打分，需从以下维度进行综合评价：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主要根据投标样品的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照明测试结果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亮度、开关及照明稳定性等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）进行打分，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照明测试结果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完全满足以上要求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照明测试结果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有瑕疵但基本满足得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照明测试结果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存在问题、有缺陷得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分,未提供或完全不满足需求得0分。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交货进度计划和保证措施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根据供应商提供的交货进度计划和保证措施方案进行打分，需从以下维度进行综合评价：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符合度：方案需对以上内容进行充分响应，不得提供与本评标项无关内容；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完整性：方案需结合整体需求，进行全方面的描述，不得存在描述缺项；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合理性：方案需依据项目要求及相关标准规范进行科学设计，要求方案合理可落地。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（1）完全满足以上方案内容要求的，得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（2）部分满足的，得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（3）有明显缺陷瑕疵的，得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（4）未提供的，不得分。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质量保障方案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根据投标人提供的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质量保障方案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进行打分，需从以下维度进行综合评价：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符合度：方案需对以上内容进行充分响应，不得提供与本评标项无关内容；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完整性：方案需结合整体需求，进行全方面的描述，不得存在描述缺项；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合理性：方案需依据项目要求及标准规范进行科学设计，要求方案合理可落地；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（1）完全满足以上方案内容要求的，得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（2）部分满足的，得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（3）有明显缺陷瑕疵的，得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（4）未提供的，不得分。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价格部分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（60分）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60分</w:t>
            </w:r>
          </w:p>
        </w:tc>
        <w:tc>
          <w:tcPr>
            <w:tcW w:w="5585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通过初审的各供应商投标报价去掉最高报价和最低报价（低于五家时不去掉最高报价和最低报价）后的算术平均价作为评标基准价。投标价等于评标基价的，得60分；投标价格比评标基价高的，每高一个百分点，在60分的基础上减1分，最低减至40分；投标价格比评标基价低的，每低一个百分点，在60分的基础上减0.5分，最低减至40分。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有效报价比评标基准价低时：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K=60-【（Q-q）/Q】100*0.5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备注：Q：评标基准价；q：投标报价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有效报价比评标基准价高时：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K=60-【（q- Q）/Q】100*1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备注：Q：评标基准价；q：投标报价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（40≤K≤60）</w:t>
            </w:r>
          </w:p>
        </w:tc>
      </w:tr>
    </w:tbl>
    <w:p>
      <w:pPr>
        <w:spacing w:before="120" w:beforeLines="50" w:line="360" w:lineRule="auto"/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2"/>
          <w:lang w:val="en-US" w:eastAsia="zh-CN"/>
        </w:rPr>
        <w:t>第二包：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473"/>
        <w:gridCol w:w="914"/>
        <w:gridCol w:w="5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782" w:type="dxa"/>
            <w:gridSpan w:val="2"/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  <w:t>评审项目</w:t>
            </w:r>
          </w:p>
        </w:tc>
        <w:tc>
          <w:tcPr>
            <w:tcW w:w="914" w:type="dxa"/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  <w:t>分数</w:t>
            </w:r>
          </w:p>
        </w:tc>
        <w:tc>
          <w:tcPr>
            <w:tcW w:w="5585" w:type="dxa"/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  <w:t>评分标准说明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商务部分（1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类似业绩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根据供应商2020年1月1日至响应文件提交截止时间的类似项目业绩进行打分（须提供中标通知书或供货合同），每提供1份得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分，最多得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分。未提供不得分。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</w:rPr>
              <w:t>用户评价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3分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提供2020年1月1日至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响应文件递交截止时间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用户使用情况正面评价的，每提供一项得0.5分，满分3分。不提供不得分。（用户评价需提供评价原件复印件并加盖用户公章，注明联系人、联系电话）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0"/>
                <w:lang w:val="en-US" w:eastAsia="zh-CN"/>
              </w:rPr>
              <w:t>检测报告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所投产品按照灯具清单备注要求提供第三方检测报告的（共5项），每提供1份得1分，满分5分，未提供不得分（需提供第三方检测报告复印件）。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认证体系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3分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根据供应商提供体系认证证书进行评审：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（1）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具备质量管理体系认证且在有效期内的得1分。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（2）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具备环境管理体系认证且在有效期内的得1分。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（3）供应商具备职业健康安全管理体系认证且在有效期内的得1分。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需提供：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①上述证书加盖公章的复印件。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②在中国国家认证认可监督管理委员会“全国认证认可信息公共服务平台”（www.cnca.gov.cn）的认证系统查询结果截图。提供材料齐全且证书有效的每个得1分，最高得3分，材料不全、证书无效或未提供的不得分。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left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质保期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质保期在满足磋商文件最低要求（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年）基础上，供应商承诺再每增加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一年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及以上，得1分。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技术部分（2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分）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投标样品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根据供应商提供的样品所用材质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及制造工艺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是否与磋商文件的要求一致，对样品的材质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及制造工艺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情况进行打分，需从以下维度进行综合评价：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主要根据投标样品的材质选择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及制造工艺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进行评审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（材质要求达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采购标准，无划伤、磨损、掉漆、污物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等，无松动异响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）进行打分，材质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及制造工艺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完全满足以上要求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分，材质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及制造工艺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有瑕疵但基本满足得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分，材质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及制造工艺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存在问题、有缺陷得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分,未提供或完全不满足需求得0分。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根据供应商所投样品的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照明测试结果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比较情况进行打分，需从以下维度进行综合评价：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主要根据投标样品的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照明测试结果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亮度、开关及照明稳定性等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）进行打分，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照明测试结果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完全满足以上要求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照明测试结果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有瑕疵但基本满足得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照明测试结果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存在问题、有缺陷得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分,未提供或完全不满足需求得0分。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交货进度计划和保证措施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根据供应商提供的交货进度计划和保证措施方案进行打分，需从以下维度进行综合评价：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符合度：方案需对以上内容进行充分响应，不得提供与本评标项无关内容；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完整性：方案需结合整体需求，进行全方面的描述，不得存在描述缺项；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合理性：方案需依据项目要求及相关标准规范进行科学设计，要求方案合理可落地。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（1）完全满足以上方案内容要求的，得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（2）部分满足的，得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（3）有明显缺陷瑕疵的，得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（4）未提供的，不得分。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质量保障方案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5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根据投标人提供的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质量保障方案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进行打分，需从以下维度进行综合评价：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符合度：方案需对以上内容进行充分响应，不得提供与本评标项无关内容；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完整性：方案需结合整体需求，进行全方面的描述，不得存在描述缺项；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合理性：方案需依据项目要求及标准规范进行科学设计，要求方案合理可落地；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（1）完全满足以上方案内容要求的，得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（2）部分满足的，得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（3）有明显缺陷瑕疵的，得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both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（4）未提供的，不得分。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价格部分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（60分）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75"/>
              </w:tabs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71" w:rightChars="34"/>
              <w:jc w:val="center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60分</w:t>
            </w:r>
          </w:p>
        </w:tc>
        <w:tc>
          <w:tcPr>
            <w:tcW w:w="5585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通过初审的各供应商投标报价去掉最高报价和最低报价（低于五家时不去掉最高报价和最低报价）后的算术平均价作为评标基准价。投标价等于评标基价的，得60分；投标价格比评标基价高的，每高一个百分点，在60分的基础上减1分，最低减至40分；投标价格比评标基价低的，每低一个百分点，在60分的基础上减0.5分，最低减至40分。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有效报价比评标基准价低时：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K=60-【（Q-q）/Q】100*0.5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备注：Q：评标基准价；q：投标报价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有效报价比评标基准价高时：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K=60-【（q- Q）/Q】100*1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备注：Q：评标基准价；q：投标报价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（40≤K≤60）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”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因本项目更正，故本项目响应文件提交时间延期更正为“1.开始时间：2024年4月3日08点30分（北京时间）2.截止时间：2024年4月3日09点30分（北京时间）3.地点：湖北中联太工程造价咨询有限公司会议室”。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5.因本项目更正，故本项目响应文件开启时间延期更正为“1.时间：2024年4月3日09点30分（北京时间）2.地点：湖北中联太工程造价咨询有限公司会议室”。</w:t>
      </w:r>
    </w:p>
    <w:p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以上更正内容磋商文件中相关内容作相应更正。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更正日期：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2024年3月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>
      <w:pPr>
        <w:pStyle w:val="2"/>
        <w:spacing w:line="360" w:lineRule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8" w:name="_Toc35393647"/>
      <w:bookmarkStart w:id="9" w:name="_Toc35393816"/>
      <w:r>
        <w:rPr>
          <w:rFonts w:hint="eastAsia" w:ascii="仿宋" w:hAnsi="仿宋" w:eastAsia="仿宋" w:cs="仿宋"/>
          <w:b w:val="0"/>
          <w:sz w:val="24"/>
          <w:szCs w:val="24"/>
        </w:rPr>
        <w:t>三、其他补充事宜</w:t>
      </w:r>
      <w:bookmarkEnd w:id="8"/>
      <w:bookmarkEnd w:id="9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</w:t>
      </w:r>
    </w:p>
    <w:p>
      <w:pPr>
        <w:pStyle w:val="2"/>
        <w:spacing w:line="360" w:lineRule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10" w:name="_Toc35393817"/>
      <w:bookmarkStart w:id="11" w:name="_Toc35393648"/>
      <w:bookmarkStart w:id="12" w:name="_Toc28359029"/>
      <w:bookmarkStart w:id="13" w:name="_Toc28359106"/>
      <w:r>
        <w:rPr>
          <w:rFonts w:hint="eastAsia" w:ascii="仿宋" w:hAnsi="仿宋" w:eastAsia="仿宋" w:cs="仿宋"/>
          <w:b w:val="0"/>
          <w:sz w:val="24"/>
          <w:szCs w:val="24"/>
        </w:rPr>
        <w:t>四、凡对本次公告内容提出询问，请按以下方式联系。</w:t>
      </w:r>
      <w:bookmarkEnd w:id="10"/>
      <w:bookmarkEnd w:id="11"/>
      <w:bookmarkEnd w:id="12"/>
      <w:bookmarkEnd w:id="13"/>
    </w:p>
    <w:p>
      <w:pPr>
        <w:spacing w:line="360" w:lineRule="auto"/>
        <w:ind w:left="17" w:leftChars="8" w:firstLine="400" w:firstLineChars="167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1.采购代理机构信息</w:t>
      </w:r>
    </w:p>
    <w:p>
      <w:pPr>
        <w:spacing w:line="360" w:lineRule="auto"/>
        <w:ind w:left="17" w:leftChars="8" w:firstLine="400" w:firstLineChars="167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名    称：湖北中联太工程造价咨询有限公司</w:t>
      </w:r>
    </w:p>
    <w:p>
      <w:pPr>
        <w:spacing w:line="360" w:lineRule="auto"/>
        <w:ind w:left="17" w:leftChars="8" w:firstLine="400" w:firstLineChars="167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    址：湖北省武汉市江岸区马祖路17号9楼</w:t>
      </w:r>
    </w:p>
    <w:p>
      <w:pPr>
        <w:spacing w:line="360" w:lineRule="auto"/>
        <w:ind w:left="17" w:leftChars="8" w:firstLine="400" w:firstLineChars="167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项目联系人：盛其昌、胡佳康、马晶晶 </w:t>
      </w:r>
    </w:p>
    <w:p>
      <w:pPr>
        <w:spacing w:line="360" w:lineRule="auto"/>
        <w:ind w:left="17" w:leftChars="8" w:firstLine="400" w:firstLineChars="16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电      话：027-85492633/027-85492605</w:t>
      </w:r>
    </w:p>
    <w:p>
      <w:pPr>
        <w:spacing w:line="360" w:lineRule="auto"/>
        <w:ind w:left="17" w:leftChars="8" w:firstLine="400" w:firstLineChars="167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2.采购人信息</w:t>
      </w:r>
    </w:p>
    <w:p>
      <w:pPr>
        <w:spacing w:line="360" w:lineRule="auto"/>
        <w:ind w:left="17" w:leftChars="8" w:firstLine="400" w:firstLineChars="167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名    称：中百控股集团股份有限公司</w:t>
      </w:r>
    </w:p>
    <w:p>
      <w:pPr>
        <w:spacing w:line="360" w:lineRule="auto"/>
        <w:ind w:left="17" w:leftChars="8" w:firstLine="400" w:firstLineChars="167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    址：</w:t>
      </w:r>
      <w:r>
        <w:rPr>
          <w:rFonts w:hint="eastAsia" w:ascii="仿宋" w:hAnsi="仿宋" w:eastAsia="仿宋" w:cs="仿宋"/>
          <w:sz w:val="24"/>
        </w:rPr>
        <w:t>湖北省武汉市江汉区新华路63</w:t>
      </w:r>
      <w:bookmarkStart w:id="14" w:name="_GoBack"/>
      <w:bookmarkEnd w:id="14"/>
      <w:r>
        <w:rPr>
          <w:rFonts w:hint="eastAsia" w:ascii="仿宋" w:hAnsi="仿宋" w:eastAsia="仿宋" w:cs="仿宋"/>
          <w:sz w:val="24"/>
        </w:rPr>
        <w:t>0号中百控股集团股份有限公司4楼招标管理部</w:t>
      </w:r>
    </w:p>
    <w:p>
      <w:pPr>
        <w:spacing w:line="360" w:lineRule="auto"/>
        <w:ind w:left="17" w:leftChars="8" w:firstLine="400" w:firstLineChars="167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联 系 人：</w:t>
      </w:r>
      <w:r>
        <w:rPr>
          <w:rFonts w:hint="eastAsia" w:ascii="仿宋" w:hAnsi="仿宋" w:eastAsia="仿宋" w:cs="仿宋"/>
          <w:sz w:val="24"/>
        </w:rPr>
        <w:t>田工</w:t>
      </w:r>
    </w:p>
    <w:p>
      <w:pPr>
        <w:spacing w:line="360" w:lineRule="auto"/>
        <w:ind w:left="17" w:leftChars="8" w:firstLine="400" w:firstLineChars="16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联系方式：</w:t>
      </w:r>
      <w:r>
        <w:rPr>
          <w:rFonts w:hint="eastAsia" w:ascii="仿宋" w:hAnsi="仿宋" w:eastAsia="仿宋" w:cs="仿宋"/>
          <w:sz w:val="24"/>
        </w:rPr>
        <w:t>027-83327342</w:t>
      </w:r>
    </w:p>
    <w:p>
      <w:pPr>
        <w:spacing w:line="360" w:lineRule="auto"/>
        <w:ind w:left="17" w:leftChars="8" w:firstLine="402" w:firstLineChars="167"/>
        <w:jc w:val="right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>
      <w:pPr>
        <w:spacing w:line="360" w:lineRule="auto"/>
        <w:ind w:left="17" w:leftChars="8" w:firstLine="402" w:firstLineChars="167"/>
        <w:jc w:val="right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湖北中联太工程造价咨询有限公司</w:t>
      </w:r>
    </w:p>
    <w:p>
      <w:pPr>
        <w:spacing w:line="360" w:lineRule="auto"/>
        <w:ind w:left="17" w:leftChars="8" w:firstLine="402" w:firstLineChars="167"/>
        <w:jc w:val="right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2024年3月28日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2IwMDU3Y2E1MjRjOWYzN2NlMmRjOWNkYzBhMGQifQ=="/>
  </w:docVars>
  <w:rsids>
    <w:rsidRoot w:val="00000000"/>
    <w:rsid w:val="114A472F"/>
    <w:rsid w:val="13E42C19"/>
    <w:rsid w:val="21FD74AA"/>
    <w:rsid w:val="274A3283"/>
    <w:rsid w:val="2798559E"/>
    <w:rsid w:val="2BC058C2"/>
    <w:rsid w:val="2F3A3BDD"/>
    <w:rsid w:val="33C32EAB"/>
    <w:rsid w:val="369F5DE1"/>
    <w:rsid w:val="37E8196F"/>
    <w:rsid w:val="3D053A7C"/>
    <w:rsid w:val="3F6525B0"/>
    <w:rsid w:val="40DB1A94"/>
    <w:rsid w:val="4ED27537"/>
    <w:rsid w:val="70B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2024-03-28T08:32:00Z</dcterms:created>
  <dc:creator>admin</dc:creator>
  <cp:lastModifiedBy>A1．史欢</cp:lastModifiedBy>
  <dcterms:modified xsi:type="dcterms:W3CDTF">2024-03-28T09:00:44Z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A02B860DC21E4EDBAB40CB93C0AD4692_13</vt:lpwstr>
  </property>
</Properties>
</file>